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Geointeligencia en movimiento: rutas, zonas de riesgo y logística predictiva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Ciudad de México, 4 de febrero de 2026.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Mover mercancía en México implica algo más que cumplir tiempos de entrega. Significa atravesar un territorio donde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incidencia delictiva, la siniestralidad vial y la complejidad operativa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convergen todos los días en carreteras, accesos urbanos y corredores logísticos clave. En ese contexto, entender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dónde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cuándo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 mueve el riesgo se ha vuelto una condición indispensable para la logística moderna.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último mes de 2025 cerró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151,055 presuntos delitos a nivel nacional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acuerdo con el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4"/>
            <w:szCs w:val="24"/>
            <w:u w:val="single"/>
            <w:rtl w:val="0"/>
          </w:rPr>
          <w:t xml:space="preserve">Secretariado Ejecutivo del Sistema Nacional de Seguridad Pública (SESNSP)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Más allá del dato agregado, la distribución territorial revela un patrón conocido para la industria: la mayor incidencia se concentra en entidades y zonas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alta actividad económica, industrial y de transporte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donde circulan diariamente miles de unidades de carga.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escenario no es excepcional ni coyuntural. El comportamiento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robo de unidades a nivel nacional entre 2020 y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confirma que se trata de un fenómeno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persistente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impactos directos en costos logísticos, continuidad operativa y seguridad del personal.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2020 y 2023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el robo de unidades en México mantuvo un comportamiento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relativamente estable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variaciones moderadas año con año, pero sin una reducción estructural del fenómeno. </w:t>
      </w:r>
      <w:hyperlink r:id="rId9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De acuerdo con cifras del 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4"/>
            <w:szCs w:val="24"/>
            <w:u w:val="single"/>
            <w:rtl w:val="0"/>
          </w:rPr>
          <w:t xml:space="preserve">SESNSP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esta tendencia se interrumpió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cuando se observó una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disminución relevante en el total nacional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Sin embargo, el ajuste no se consolidó.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el robo de unidades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revirtió la tendencia a la baja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cerró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161,828 unidades robadas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el nivel más alto del periodo comprendido entre 2020 y 2025, según datos oficiales con corte al 31 de diciembre de ese año.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análisis agregado del mismo periodo muestra que el fenómeno mantiene una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estructura dual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si bien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robo sin violencia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concentra la mayor proporción de los casos,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robo con violencia se mantiene constante en términos absolutos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no desaparece, incluso en años con menor incidencia total.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Desde la experiencia operativa,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María de los Ángeles Useche Serrano, directora comercial de Total Protect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explica que estos datos confirman un cambio de fondo en la forma en que las empresas deben gestionar su operación. El riesgo, señala,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 no puede leerse como un evento aislado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sino como un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patrón que se construye a partir del territorio, los horarios y el comportamiento en ruta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lo que obliga a anticipar escenarios antes de que ocurran las incidencias.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fua53mxs8lc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ese contexto, el uso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geocercas y georutas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permite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ordenar grandes volúmenes de información territorial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convertirlos en criterios claros de supervisión. Las geocercas se emplean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delimitar zonas específicas,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generar eventos cuando una unidad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entra, sale o permanece más tiempo del previsto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fortaleciendo la trazabilidad.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bookmarkStart w:colFirst="0" w:colLast="0" w:name="_heading=h.ywlt27yn6qez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capacidad de análisis, añade Useche Serrano, se ha visto reforzada por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evolución tecnológica reciente de la plataforma de Total Protect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diseñada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administrar y analizar millones de zonas geográficas, rutas y patrones históricos en tiempo real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Más que un cambio visual, se trata de una infraestructura que permite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procesar información a mayor escala y velocidad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facilitando la detección temprana de comportamientos atípicos y una toma de decisiones más ágil, sin sustituir la supervisión humana ni los protocolos definidos por cada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territorio cobra especial relevancia al observar cómo ciertos corredores carreteros se repiten de forma constante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puntos críticos para la movilidad y el transporte de mercancías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Entre ellos destacan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México–Querétaro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México–Cuernavaca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Puebla–Córdoba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—especialmente en las Cumbres de Maltrata—,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Querétaro–Irapuato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Matehuala–Monterrey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Pachuca–Tuxpan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así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Toluca–México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Morelia–Lázaro Cárdenas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Urracas–Matamoros–Reynosa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Se trata de tramos que concentran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alto flujo de carga pesada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condiciones geográficas complejas y antecedentes recurrentes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accidentes y eventos delictivos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 experta, este cruce entre datos históricos, lectura territorial y tecnología confirma que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logística predictiva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ha dejado de ser un concepto aspiracional para convertirse en una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necesidad operativa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Comprender qué rutas concentran mayor riesgo, en qué horarios se incrementan los incidentes y cómo se comporta la movilidad en distintos contextos permite a las empresas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proteger sus activos, cuidar a su personal y mantener la continuidad del negocio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un entorno tan dinámico como el mexicano, la geointeligencia no elimina el riesgo, pero sí lo vuelve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visible, medible y gestionable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transformando la forma en que se toman decisiones en carretera.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685925" cy="476250"/>
                <wp:effectExtent b="0" l="0" r="0" t="0"/>
                <wp:docPr descr="Imagen" id="432658359" name="image1.png"/>
                <a:graphic>
                  <a:graphicData uri="http://schemas.openxmlformats.org/drawingml/2006/picture">
                    <pic:pic>
                      <pic:nvPicPr>
                        <pic:cNvPr descr="Imagen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Header">
    <w:name w:val="header"/>
    <w:basedOn w:val="Normal"/>
    <w:uiPriority w:val="99"/>
    <w:unhideWhenUsed w:val="1"/>
    <w:rsid w:val="0769A63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0769A63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769A63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gob.mx/cms/uploads/attachment/file/1020324/CNSP-Unidades_robadas_2015-2025_dic25.pdf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gob.mx/cms/uploads/attachment/file/1020324/CNSP-Unidades_robadas_2015-2025_dic25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b.mx/cms/uploads/attachment/file/1020117/Mapa_actual_diciembre_2025__1_.pdf" TargetMode="External"/><Relationship Id="rId8" Type="http://schemas.openxmlformats.org/officeDocument/2006/relationships/hyperlink" Target="https://www.gob.mx/cms/uploads/attachment/file/1020117/Mapa_actual_diciembre_2025__1_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SBXPHrumx0Vim2EZA3bgRRS7w==">CgMxLjAyDmguemZ1YTUzbXhzOGxjMg5oLnl3bHQyN3luNnFlejgAciExekpCS0RyaDhkbTVrOS1rcVJKaElaWlZ2MmRUQk03MUU=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2026-01-21T22:59:22.0000000Z</dcterms:created>
  <dc:creator>Gustavo Pineda Negrete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